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ED71" w14:textId="47FE515E" w:rsidR="00651D97" w:rsidRPr="00CB4B11" w:rsidRDefault="00651D97" w:rsidP="00CB4B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4B11">
        <w:rPr>
          <w:rFonts w:ascii="Arial" w:hAnsi="Arial" w:cs="Arial"/>
          <w:b/>
          <w:bCs/>
          <w:sz w:val="28"/>
          <w:szCs w:val="28"/>
        </w:rPr>
        <w:t>Application for medicines described in CKS, NICE guidance and/or other national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13173"/>
      </w:tblGrid>
      <w:tr w:rsidR="00050BCC" w:rsidRPr="009730E8" w14:paraId="2DE694F6" w14:textId="77777777" w:rsidTr="00CB4B11">
        <w:tc>
          <w:tcPr>
            <w:tcW w:w="2215" w:type="dxa"/>
            <w:vAlign w:val="center"/>
          </w:tcPr>
          <w:p w14:paraId="3AFA3C71" w14:textId="5847A368" w:rsidR="00050BCC" w:rsidRPr="00CB4B11" w:rsidRDefault="00050BCC">
            <w:pPr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</w:rPr>
              <w:t>Name of guidance</w:t>
            </w:r>
          </w:p>
        </w:tc>
        <w:tc>
          <w:tcPr>
            <w:tcW w:w="13173" w:type="dxa"/>
            <w:vAlign w:val="center"/>
          </w:tcPr>
          <w:p w14:paraId="2CED7D24" w14:textId="4C983BAC" w:rsidR="00050BCC" w:rsidRPr="00CB4B11" w:rsidRDefault="00EF04E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SIGN155 Pharmacological management of migraine, first published February 2018, revised September 2022</w:t>
            </w:r>
          </w:p>
        </w:tc>
      </w:tr>
      <w:tr w:rsidR="00050BCC" w:rsidRPr="009730E8" w14:paraId="1723D7E5" w14:textId="77777777" w:rsidTr="00CB4B11">
        <w:tc>
          <w:tcPr>
            <w:tcW w:w="2215" w:type="dxa"/>
            <w:vAlign w:val="center"/>
          </w:tcPr>
          <w:p w14:paraId="01ED74C4" w14:textId="33160C27" w:rsidR="00050BCC" w:rsidRPr="00CB4B11" w:rsidRDefault="00050BCC">
            <w:pPr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</w:rPr>
              <w:t>Available at</w:t>
            </w:r>
          </w:p>
        </w:tc>
        <w:tc>
          <w:tcPr>
            <w:tcW w:w="13173" w:type="dxa"/>
            <w:vAlign w:val="center"/>
          </w:tcPr>
          <w:p w14:paraId="0DA53D0D" w14:textId="34252E8B" w:rsidR="00050BCC" w:rsidRPr="00CB4B11" w:rsidRDefault="00CD13F8">
            <w:pPr>
              <w:rPr>
                <w:rFonts w:ascii="Arial" w:hAnsi="Arial" w:cs="Arial"/>
                <w:color w:val="1F497D" w:themeColor="text2"/>
              </w:rPr>
            </w:pPr>
            <w:hyperlink r:id="rId8" w:history="1">
              <w:r w:rsidR="00784B15" w:rsidRPr="00C61152">
                <w:rPr>
                  <w:rStyle w:val="Hyperlink"/>
                  <w:rFonts w:ascii="Arial" w:hAnsi="Arial" w:cs="Arial"/>
                </w:rPr>
                <w:t>https://www.sign.ac.uk/media/2001/sign-155-migraine-2022-v10.pdf</w:t>
              </w:r>
            </w:hyperlink>
            <w:r w:rsidR="00784B15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</w:tbl>
    <w:p w14:paraId="6CC9D03E" w14:textId="77777777" w:rsidR="009730E8" w:rsidRPr="00CB4B11" w:rsidRDefault="009730E8" w:rsidP="00CB4B11">
      <w:pPr>
        <w:spacing w:after="0" w:line="240" w:lineRule="auto"/>
        <w:rPr>
          <w:rFonts w:ascii="Arial" w:hAnsi="Arial" w:cs="Arial"/>
        </w:rPr>
      </w:pPr>
    </w:p>
    <w:p w14:paraId="4DDBFB7D" w14:textId="43B159FD" w:rsidR="009730E8" w:rsidRDefault="009730E8" w:rsidP="009730E8">
      <w:pPr>
        <w:spacing w:line="240" w:lineRule="auto"/>
        <w:rPr>
          <w:rFonts w:ascii="Arial" w:hAnsi="Arial" w:cs="Arial"/>
        </w:rPr>
      </w:pPr>
      <w:r w:rsidRPr="00CB4B11">
        <w:rPr>
          <w:rFonts w:ascii="Arial" w:hAnsi="Arial" w:cs="Arial"/>
        </w:rPr>
        <w:t>The APC will have 4 options when asked to consider the application</w:t>
      </w:r>
      <w:r w:rsidR="000F20CC">
        <w:rPr>
          <w:rFonts w:ascii="Arial" w:hAnsi="Arial" w:cs="Arial"/>
        </w:rPr>
        <w:t>/</w:t>
      </w:r>
      <w:r w:rsidRPr="00CB4B11">
        <w:rPr>
          <w:rFonts w:ascii="Arial" w:hAnsi="Arial" w:cs="Arial"/>
        </w:rPr>
        <w:t xml:space="preserve">s: </w:t>
      </w:r>
    </w:p>
    <w:p w14:paraId="07C48F2E" w14:textId="77777777" w:rsidR="009730E8" w:rsidRPr="00CB4B11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CB4B11">
        <w:rPr>
          <w:rFonts w:ascii="Arial" w:hAnsi="Arial" w:cs="Arial"/>
        </w:rPr>
        <w:t>To accept</w:t>
      </w:r>
    </w:p>
    <w:p w14:paraId="116AE589" w14:textId="7357507B" w:rsidR="009730E8" w:rsidRPr="00CB4B11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CB4B11">
        <w:rPr>
          <w:rFonts w:ascii="Arial" w:hAnsi="Arial" w:cs="Arial"/>
        </w:rPr>
        <w:t>To reject</w:t>
      </w:r>
    </w:p>
    <w:p w14:paraId="51AE960D" w14:textId="77B77DAF" w:rsidR="009730E8" w:rsidRPr="00CB4B11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CB4B11">
        <w:rPr>
          <w:rFonts w:ascii="Arial" w:hAnsi="Arial" w:cs="Arial"/>
        </w:rPr>
        <w:t>To allocate alternative traffic light classification</w:t>
      </w:r>
    </w:p>
    <w:p w14:paraId="5F8A6D7B" w14:textId="555D9E48" w:rsidR="009730E8" w:rsidRPr="00CB4B11" w:rsidRDefault="009730E8" w:rsidP="00CB4B1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CB4B11">
        <w:rPr>
          <w:rFonts w:ascii="Arial" w:hAnsi="Arial" w:cs="Arial"/>
        </w:rPr>
        <w:t>To request a full evidence review.</w:t>
      </w:r>
    </w:p>
    <w:p w14:paraId="069B6DE6" w14:textId="1B22F998" w:rsidR="001141C4" w:rsidRDefault="00117B0E">
      <w:pPr>
        <w:spacing w:line="240" w:lineRule="auto"/>
        <w:rPr>
          <w:color w:val="0000FF"/>
          <w:u w:val="single"/>
        </w:rPr>
      </w:pPr>
      <w:r>
        <w:rPr>
          <w:rFonts w:ascii="Arial" w:hAnsi="Arial" w:cs="Arial"/>
        </w:rPr>
        <w:t xml:space="preserve">The traffic light status for the Surrey PAD is available at: </w:t>
      </w:r>
      <w:hyperlink r:id="rId9" w:history="1">
        <w:r w:rsidRPr="00117B0E">
          <w:rPr>
            <w:color w:val="0000FF"/>
            <w:u w:val="single"/>
          </w:rPr>
          <w:t>Traffic Light Status (res-systems.net)</w:t>
        </w:r>
      </w:hyperlink>
    </w:p>
    <w:p w14:paraId="703B0A20" w14:textId="0E75BFA2" w:rsidR="00E64E9C" w:rsidRPr="007E68A9" w:rsidRDefault="00C66430">
      <w:pPr>
        <w:spacing w:line="240" w:lineRule="auto"/>
        <w:rPr>
          <w:rFonts w:ascii="Arial" w:hAnsi="Arial" w:cs="Arial"/>
        </w:rPr>
      </w:pPr>
      <w:r w:rsidRPr="00CD13F8">
        <w:rPr>
          <w:rFonts w:ascii="Arial" w:hAnsi="Arial" w:cs="Arial"/>
        </w:rPr>
        <w:t xml:space="preserve">This application is for </w:t>
      </w:r>
      <w:hyperlink r:id="rId10" w:tooltip="Candesartan cilexetil" w:history="1">
        <w:r w:rsidRPr="00CD13F8">
          <w:rPr>
            <w:rFonts w:ascii="Arial" w:hAnsi="Arial" w:cs="Arial"/>
          </w:rPr>
          <w:t xml:space="preserve">Candesartan </w:t>
        </w:r>
        <w:proofErr w:type="spellStart"/>
        <w:r w:rsidRPr="00CD13F8">
          <w:rPr>
            <w:rFonts w:ascii="Arial" w:hAnsi="Arial" w:cs="Arial"/>
          </w:rPr>
          <w:t>cilexetil</w:t>
        </w:r>
        <w:proofErr w:type="spellEnd"/>
      </w:hyperlink>
      <w:r w:rsidRPr="00CD13F8">
        <w:rPr>
          <w:rFonts w:ascii="Arial" w:hAnsi="Arial" w:cs="Arial"/>
        </w:rPr>
        <w:t xml:space="preserve"> [unlicensed indication]  as prophylaxis in patients with episodic or chronic migraine, although there is limited evidence to support its use. It is not included in </w:t>
      </w:r>
      <w:r w:rsidR="007E68A9" w:rsidRPr="00CD13F8">
        <w:rPr>
          <w:rFonts w:ascii="Arial" w:hAnsi="Arial" w:cs="Arial"/>
        </w:rPr>
        <w:t xml:space="preserve">CKS or NICE  </w:t>
      </w:r>
      <w:r w:rsidRPr="00CD13F8">
        <w:rPr>
          <w:rFonts w:ascii="Arial" w:hAnsi="Arial" w:cs="Arial"/>
        </w:rPr>
        <w:t xml:space="preserve">however it is included in </w:t>
      </w:r>
      <w:r w:rsidR="00E64E9C" w:rsidRPr="00CD13F8">
        <w:rPr>
          <w:rFonts w:ascii="Arial" w:hAnsi="Arial" w:cs="Arial"/>
        </w:rPr>
        <w:t>SIGN155</w:t>
      </w:r>
      <w:r w:rsidR="007E68A9">
        <w:rPr>
          <w:rFonts w:ascii="Arial" w:hAnsi="Arial" w:cs="Arial"/>
        </w:rPr>
        <w:t xml:space="preserve">, </w:t>
      </w:r>
      <w:r w:rsidR="00CF70EF" w:rsidRPr="00CD13F8">
        <w:rPr>
          <w:rFonts w:ascii="Arial" w:hAnsi="Arial" w:cs="Arial"/>
        </w:rPr>
        <w:t xml:space="preserve">the BNF treatment summary, and </w:t>
      </w:r>
      <w:r w:rsidR="00E64E9C" w:rsidRPr="00CD13F8">
        <w:rPr>
          <w:rFonts w:ascii="Arial" w:hAnsi="Arial" w:cs="Arial"/>
        </w:rPr>
        <w:t xml:space="preserve">the </w:t>
      </w:r>
      <w:r w:rsidR="00CF70EF">
        <w:rPr>
          <w:rFonts w:ascii="Arial" w:hAnsi="Arial" w:cs="Arial"/>
        </w:rPr>
        <w:t xml:space="preserve">British Association for the Study of Headache (BASH) guidelines. </w:t>
      </w:r>
    </w:p>
    <w:p w14:paraId="4F851B0E" w14:textId="1DC818DC" w:rsidR="00C66430" w:rsidRPr="00CD13F8" w:rsidRDefault="00CD13F8">
      <w:pPr>
        <w:spacing w:line="240" w:lineRule="auto"/>
        <w:rPr>
          <w:rFonts w:ascii="Arial" w:hAnsi="Arial" w:cs="Arial"/>
        </w:rPr>
      </w:pPr>
      <w:r w:rsidRPr="007E68A9">
        <w:rPr>
          <w:rFonts w:ascii="Arial" w:hAnsi="Arial" w:cs="Arial"/>
        </w:rPr>
        <w:t>Its</w:t>
      </w:r>
      <w:r w:rsidR="00C66430" w:rsidRPr="007E68A9">
        <w:rPr>
          <w:rFonts w:ascii="Arial" w:hAnsi="Arial" w:cs="Arial"/>
        </w:rPr>
        <w:t xml:space="preserve"> use is also supported by local neurologists and would give primary care prescribers another choice. Candesartan is a medicine which is well established and there is good experience of </w:t>
      </w:r>
      <w:r w:rsidRPr="007E68A9">
        <w:rPr>
          <w:rFonts w:ascii="Arial" w:hAnsi="Arial" w:cs="Arial"/>
        </w:rPr>
        <w:t>its</w:t>
      </w:r>
      <w:r w:rsidR="00C66430" w:rsidRPr="007E68A9">
        <w:rPr>
          <w:rFonts w:ascii="Arial" w:hAnsi="Arial" w:cs="Arial"/>
        </w:rPr>
        <w:t xml:space="preserve"> use (within its licensed indications).</w:t>
      </w:r>
    </w:p>
    <w:p w14:paraId="7F8CD43C" w14:textId="5501B025" w:rsidR="00266C30" w:rsidRDefault="00FA0E4D" w:rsidP="00266C30">
      <w:pPr>
        <w:spacing w:line="240" w:lineRule="auto"/>
      </w:pPr>
      <w:r>
        <w:t>From the BNF Treatment Summary:</w:t>
      </w:r>
      <w:r w:rsidR="00FD7617">
        <w:t xml:space="preserve"> </w:t>
      </w:r>
      <w:hyperlink r:id="rId11" w:history="1">
        <w:r w:rsidR="00FD7617" w:rsidRPr="00C61152">
          <w:rPr>
            <w:rStyle w:val="Hyperlink"/>
          </w:rPr>
          <w:t>https://bnf.nice.org.uk/treatment-summaries/migraine/</w:t>
        </w:r>
      </w:hyperlink>
      <w:r w:rsidR="00FD7617">
        <w:t xml:space="preserve"> </w:t>
      </w:r>
    </w:p>
    <w:p w14:paraId="59DE0E27" w14:textId="50025916" w:rsidR="007E68A9" w:rsidRDefault="00CF70EF" w:rsidP="00266C30">
      <w:pPr>
        <w:spacing w:line="240" w:lineRule="auto"/>
      </w:pPr>
      <w:r>
        <w:t xml:space="preserve">BASH guidelines: </w:t>
      </w:r>
      <w:hyperlink r:id="rId12" w:history="1">
        <w:r w:rsidR="007E68A9" w:rsidRPr="007E68A9">
          <w:rPr>
            <w:rStyle w:val="Hyperlink"/>
          </w:rPr>
          <w:t>https://www.bash.org.uk/</w:t>
        </w:r>
      </w:hyperlink>
      <w:r w:rsidR="00F43532" w:rsidRPr="00F43532">
        <w:rPr>
          <w:rFonts w:ascii="Arial" w:hAnsi="Arial" w:cs="Arial"/>
        </w:rPr>
        <w:t xml:space="preserve"> or </w:t>
      </w:r>
      <w:hyperlink r:id="rId13" w:history="1">
        <w:r w:rsidR="00F43532">
          <w:rPr>
            <w:rStyle w:val="Hyperlink"/>
          </w:rPr>
          <w:t>NATIONAL Headache Management SYSTEM FOR Adults 2018 (bash.org.uk)</w:t>
        </w:r>
      </w:hyperlink>
    </w:p>
    <w:p w14:paraId="01E1FA9F" w14:textId="5A8C77D5" w:rsidR="001655AE" w:rsidRDefault="001655AE" w:rsidP="00266C30">
      <w:pPr>
        <w:spacing w:line="240" w:lineRule="auto"/>
      </w:pPr>
      <w:r>
        <w:t>NICE Guidance</w:t>
      </w:r>
      <w:r w:rsidR="00AD4E65" w:rsidRPr="00AD4E65">
        <w:rPr>
          <w:vertAlign w:val="superscript"/>
        </w:rPr>
        <w:t>2</w:t>
      </w:r>
      <w:r>
        <w:t xml:space="preserve">: </w:t>
      </w:r>
      <w:r w:rsidR="00784B15">
        <w:t xml:space="preserve">not listed in NICE guidance </w:t>
      </w:r>
      <w:hyperlink r:id="rId14" w:history="1">
        <w:r w:rsidR="00784B15" w:rsidRPr="00C61152">
          <w:rPr>
            <w:rStyle w:val="Hyperlink"/>
          </w:rPr>
          <w:t>https://www.nice.org.uk/guidance/cg150</w:t>
        </w:r>
      </w:hyperlink>
      <w:r w:rsidR="00C655DE">
        <w:t xml:space="preserve">, or in CKS </w:t>
      </w:r>
      <w:hyperlink r:id="rId15" w:history="1">
        <w:r w:rsidR="00C655DE" w:rsidRPr="00C61152">
          <w:rPr>
            <w:rStyle w:val="Hyperlink"/>
          </w:rPr>
          <w:t>https://cks.nice.org.uk/topics/migraine/prescribing-information/drugs-for-the-prevention-of-migraine/</w:t>
        </w:r>
      </w:hyperlink>
      <w:r w:rsidR="00C655DE">
        <w:t xml:space="preserve"> </w:t>
      </w:r>
    </w:p>
    <w:p w14:paraId="39153BCD" w14:textId="61981214" w:rsidR="001655AE" w:rsidRDefault="001655AE" w:rsidP="00266C30">
      <w:pPr>
        <w:spacing w:line="240" w:lineRule="auto"/>
      </w:pPr>
      <w:r>
        <w:lastRenderedPageBreak/>
        <w:t>First-line treatment</w:t>
      </w:r>
      <w:r w:rsidR="00784B15">
        <w:t xml:space="preserve"> : According to SIGN, first line treatment for acute attacks is aspirin or ibuprofen, then one of the (many) triptans available. For prophylaxis, SIGN</w:t>
      </w:r>
      <w:r w:rsidR="00CF70EF">
        <w:t xml:space="preserve"> and </w:t>
      </w:r>
      <w:r w:rsidR="00784B15">
        <w:t>recommend :</w:t>
      </w:r>
    </w:p>
    <w:p w14:paraId="167356B1" w14:textId="57939733" w:rsidR="00784B15" w:rsidRDefault="00784B15" w:rsidP="00784B15">
      <w:pPr>
        <w:pStyle w:val="ListParagraph"/>
        <w:numPr>
          <w:ilvl w:val="0"/>
          <w:numId w:val="23"/>
        </w:numPr>
        <w:spacing w:line="240" w:lineRule="auto"/>
      </w:pPr>
      <w:r>
        <w:t>Propranolol : target dose 80mg twice a day – on PAD</w:t>
      </w:r>
    </w:p>
    <w:p w14:paraId="30EBBC9A" w14:textId="541C5C70" w:rsidR="00784B15" w:rsidRDefault="00784B15" w:rsidP="00784B15">
      <w:pPr>
        <w:pStyle w:val="ListParagraph"/>
        <w:numPr>
          <w:ilvl w:val="0"/>
          <w:numId w:val="23"/>
        </w:numPr>
        <w:spacing w:line="240" w:lineRule="auto"/>
      </w:pPr>
      <w:r>
        <w:t>Topiramate : target dose 50mg twice a day (use if propranolol fails) – on PAD</w:t>
      </w:r>
    </w:p>
    <w:p w14:paraId="684DBFD8" w14:textId="46550A6A" w:rsidR="00784B15" w:rsidRDefault="00784B15" w:rsidP="00784B15">
      <w:pPr>
        <w:pStyle w:val="ListParagraph"/>
        <w:numPr>
          <w:ilvl w:val="0"/>
          <w:numId w:val="23"/>
        </w:numPr>
        <w:spacing w:line="240" w:lineRule="auto"/>
      </w:pPr>
      <w:r>
        <w:t>Amitriptyline/ other TCA : target dose 30-50mg at night – on PAD</w:t>
      </w:r>
    </w:p>
    <w:p w14:paraId="477D66F7" w14:textId="194078D0" w:rsidR="00CF70EF" w:rsidRDefault="00CF70EF" w:rsidP="00784B15">
      <w:pPr>
        <w:pStyle w:val="ListParagraph"/>
        <w:numPr>
          <w:ilvl w:val="0"/>
          <w:numId w:val="23"/>
        </w:numPr>
        <w:spacing w:line="240" w:lineRule="auto"/>
      </w:pPr>
      <w:r>
        <w:t>Candesartan: target dose – NOT on PAD</w:t>
      </w:r>
    </w:p>
    <w:p w14:paraId="58C69BE4" w14:textId="3FB9C606" w:rsidR="001655AE" w:rsidRDefault="00784B15" w:rsidP="00CF42BE">
      <w:pPr>
        <w:pStyle w:val="ListParagraph"/>
        <w:numPr>
          <w:ilvl w:val="0"/>
          <w:numId w:val="23"/>
        </w:numPr>
        <w:spacing w:line="240" w:lineRule="auto"/>
      </w:pPr>
      <w:r>
        <w:t xml:space="preserve">Other prophylactic options </w:t>
      </w:r>
      <w:r w:rsidR="00E66F3B">
        <w:t>are</w:t>
      </w:r>
      <w:r>
        <w:t xml:space="preserve"> sodium valproate 600mg twice a day (avoid in women who may become pregnant</w:t>
      </w:r>
      <w:r w:rsidR="002038F6">
        <w:t xml:space="preserve"> – not on PAD</w:t>
      </w:r>
      <w:r>
        <w:t>) and pizotifen 3-4.5mg daily (lacking evidence, but widely used)</w:t>
      </w:r>
      <w:r w:rsidR="00A25C0B">
        <w:t>, on PAD.</w:t>
      </w:r>
    </w:p>
    <w:p w14:paraId="5D1FEFC0" w14:textId="77777777" w:rsidR="00266C30" w:rsidRPr="00CB4B11" w:rsidRDefault="00266C30" w:rsidP="00266C30">
      <w:pPr>
        <w:spacing w:line="240" w:lineRule="auto"/>
        <w:rPr>
          <w:rFonts w:ascii="Arial" w:hAnsi="Arial" w:cs="Arial"/>
        </w:rPr>
      </w:pPr>
    </w:p>
    <w:tbl>
      <w:tblPr>
        <w:tblStyle w:val="LightGrid-Accent6"/>
        <w:tblW w:w="15250" w:type="dxa"/>
        <w:tblLayout w:type="fixed"/>
        <w:tblLook w:val="04A0" w:firstRow="1" w:lastRow="0" w:firstColumn="1" w:lastColumn="0" w:noHBand="0" w:noVBand="1"/>
      </w:tblPr>
      <w:tblGrid>
        <w:gridCol w:w="1701"/>
        <w:gridCol w:w="2258"/>
        <w:gridCol w:w="2258"/>
        <w:gridCol w:w="2258"/>
        <w:gridCol w:w="2258"/>
        <w:gridCol w:w="2258"/>
        <w:gridCol w:w="2259"/>
      </w:tblGrid>
      <w:tr w:rsidR="005A68C4" w:rsidRPr="009730E8" w14:paraId="749C79FA" w14:textId="70992C6D" w:rsidTr="00E62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5567D94" w14:textId="502FAE69" w:rsidR="005A68C4" w:rsidRDefault="005A68C4" w:rsidP="00117B0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4B11">
              <w:rPr>
                <w:rFonts w:ascii="Arial" w:hAnsi="Arial" w:cs="Arial"/>
              </w:rPr>
              <w:t>Medicine</w:t>
            </w:r>
            <w:r w:rsidR="00117B0E">
              <w:rPr>
                <w:rFonts w:ascii="Arial" w:hAnsi="Arial" w:cs="Arial"/>
              </w:rPr>
              <w:t xml:space="preserve"> name</w:t>
            </w:r>
          </w:p>
          <w:p w14:paraId="13D3D50B" w14:textId="308D763D" w:rsidR="00117B0E" w:rsidRPr="00CB4B11" w:rsidRDefault="00117B0E" w:rsidP="00CB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(generic and brand)</w:t>
            </w:r>
          </w:p>
        </w:tc>
        <w:tc>
          <w:tcPr>
            <w:tcW w:w="2258" w:type="dxa"/>
            <w:vAlign w:val="center"/>
          </w:tcPr>
          <w:p w14:paraId="40A0BB39" w14:textId="7C1F3A63" w:rsidR="005A68C4" w:rsidRPr="00CB4B11" w:rsidRDefault="00117B0E" w:rsidP="00CB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l</w:t>
            </w:r>
            <w:r w:rsidR="005A68C4" w:rsidRPr="00CB4B11">
              <w:rPr>
                <w:rFonts w:ascii="Arial" w:hAnsi="Arial" w:cs="Arial"/>
              </w:rPr>
              <w:t>icensed indication</w:t>
            </w:r>
            <w:r>
              <w:rPr>
                <w:rFonts w:ascii="Arial" w:hAnsi="Arial" w:cs="Arial"/>
              </w:rPr>
              <w:t xml:space="preserve"> and if use in this application is licensed?</w:t>
            </w:r>
          </w:p>
        </w:tc>
        <w:tc>
          <w:tcPr>
            <w:tcW w:w="2258" w:type="dxa"/>
            <w:vAlign w:val="center"/>
          </w:tcPr>
          <w:p w14:paraId="713B4455" w14:textId="22CBB659" w:rsidR="005A68C4" w:rsidRPr="00CB4B11" w:rsidRDefault="005A68C4" w:rsidP="00CB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</w:rPr>
              <w:t>Place in therapy</w:t>
            </w:r>
          </w:p>
        </w:tc>
        <w:tc>
          <w:tcPr>
            <w:tcW w:w="2258" w:type="dxa"/>
            <w:vAlign w:val="center"/>
          </w:tcPr>
          <w:p w14:paraId="09B96DCA" w14:textId="77777777" w:rsidR="005A68C4" w:rsidRPr="00CB4B11" w:rsidRDefault="005A68C4" w:rsidP="00CB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</w:rPr>
              <w:t>Does it require dose titration?</w:t>
            </w:r>
          </w:p>
        </w:tc>
        <w:tc>
          <w:tcPr>
            <w:tcW w:w="2258" w:type="dxa"/>
            <w:vAlign w:val="center"/>
          </w:tcPr>
          <w:p w14:paraId="6CE281E7" w14:textId="77777777" w:rsidR="0073165C" w:rsidRDefault="005A68C4" w:rsidP="00117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4B11">
              <w:rPr>
                <w:rFonts w:ascii="Arial" w:hAnsi="Arial" w:cs="Arial"/>
              </w:rPr>
              <w:t xml:space="preserve">Does it require monitoring? </w:t>
            </w:r>
          </w:p>
          <w:p w14:paraId="29B58A11" w14:textId="0477396B" w:rsidR="005A68C4" w:rsidRPr="00CB4B11" w:rsidRDefault="005A68C4" w:rsidP="00731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4B11">
              <w:rPr>
                <w:rFonts w:ascii="Arial" w:hAnsi="Arial" w:cs="Arial"/>
              </w:rPr>
              <w:t>(SPC and SBS monitoring)</w:t>
            </w:r>
          </w:p>
        </w:tc>
        <w:tc>
          <w:tcPr>
            <w:tcW w:w="2258" w:type="dxa"/>
            <w:vAlign w:val="center"/>
          </w:tcPr>
          <w:p w14:paraId="347E840B" w14:textId="600A6335" w:rsidR="005A68C4" w:rsidRPr="00CB4B11" w:rsidRDefault="00117B0E" w:rsidP="00117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17B0E">
              <w:rPr>
                <w:rFonts w:ascii="Arial" w:hAnsi="Arial" w:cs="Arial"/>
              </w:rPr>
              <w:t xml:space="preserve">ecommended traffic light </w:t>
            </w:r>
          </w:p>
        </w:tc>
        <w:tc>
          <w:tcPr>
            <w:tcW w:w="2259" w:type="dxa"/>
            <w:vAlign w:val="center"/>
          </w:tcPr>
          <w:p w14:paraId="4B435F6D" w14:textId="555FA7A0" w:rsidR="005A68C4" w:rsidRPr="00CB4B11" w:rsidRDefault="0073165C" w:rsidP="00731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C</w:t>
            </w:r>
            <w:r w:rsidR="005A68C4" w:rsidRPr="00CB4B11">
              <w:rPr>
                <w:rFonts w:ascii="Arial" w:hAnsi="Arial" w:cs="Arial"/>
              </w:rPr>
              <w:t>omments</w:t>
            </w:r>
          </w:p>
          <w:p w14:paraId="46102B1F" w14:textId="7985D2CD" w:rsidR="00117B0E" w:rsidRPr="00CB4B11" w:rsidRDefault="00050BCC" w:rsidP="00117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4B11">
              <w:rPr>
                <w:rFonts w:ascii="Arial" w:hAnsi="Arial" w:cs="Arial"/>
                <w:b w:val="0"/>
                <w:bCs w:val="0"/>
              </w:rPr>
              <w:t>Must</w:t>
            </w:r>
            <w:r w:rsidR="00117B0E" w:rsidRPr="00CB4B1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CB4B11">
              <w:rPr>
                <w:rFonts w:ascii="Arial" w:hAnsi="Arial" w:cs="Arial"/>
                <w:b w:val="0"/>
                <w:bCs w:val="0"/>
              </w:rPr>
              <w:t>i</w:t>
            </w:r>
            <w:r w:rsidR="005A68C4" w:rsidRPr="00CB4B11">
              <w:rPr>
                <w:rFonts w:ascii="Arial" w:hAnsi="Arial" w:cs="Arial"/>
                <w:b w:val="0"/>
                <w:bCs w:val="0"/>
              </w:rPr>
              <w:t>nclude information about</w:t>
            </w:r>
            <w:r w:rsidR="00117B0E" w:rsidRPr="00CB4B11">
              <w:rPr>
                <w:rFonts w:ascii="Arial" w:hAnsi="Arial" w:cs="Arial"/>
                <w:b w:val="0"/>
                <w:bCs w:val="0"/>
              </w:rPr>
              <w:t>:</w:t>
            </w:r>
          </w:p>
          <w:p w14:paraId="58642527" w14:textId="521D21FF" w:rsidR="005A68C4" w:rsidRPr="00CB4B11" w:rsidRDefault="005A68C4" w:rsidP="00117B0E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4B11">
              <w:rPr>
                <w:rFonts w:ascii="Arial" w:hAnsi="Arial" w:cs="Arial"/>
                <w:b w:val="0"/>
                <w:bCs w:val="0"/>
              </w:rPr>
              <w:t xml:space="preserve">whether a cost impact is expected and </w:t>
            </w:r>
            <w:r w:rsidR="001900B1" w:rsidRPr="00CB4B11">
              <w:rPr>
                <w:rFonts w:ascii="Arial" w:hAnsi="Arial" w:cs="Arial"/>
                <w:b w:val="0"/>
                <w:bCs w:val="0"/>
              </w:rPr>
              <w:t>by how much.</w:t>
            </w:r>
          </w:p>
          <w:p w14:paraId="3F4A4177" w14:textId="09D430EE" w:rsidR="001900B1" w:rsidRPr="00CB4B11" w:rsidRDefault="001900B1" w:rsidP="00117B0E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  <w:b w:val="0"/>
                <w:bCs w:val="0"/>
              </w:rPr>
              <w:t xml:space="preserve">impact on </w:t>
            </w:r>
            <w:r w:rsidR="00117B0E" w:rsidRPr="00CB4B11">
              <w:rPr>
                <w:rFonts w:ascii="Arial" w:hAnsi="Arial" w:cs="Arial"/>
                <w:b w:val="0"/>
                <w:bCs w:val="0"/>
              </w:rPr>
              <w:t>w</w:t>
            </w:r>
            <w:r w:rsidRPr="00CB4B11">
              <w:rPr>
                <w:rFonts w:ascii="Arial" w:hAnsi="Arial" w:cs="Arial"/>
                <w:b w:val="0"/>
                <w:bCs w:val="0"/>
              </w:rPr>
              <w:t>orkload, e</w:t>
            </w:r>
            <w:r w:rsidR="00050BCC" w:rsidRPr="00CB4B11">
              <w:rPr>
                <w:rFonts w:ascii="Arial" w:hAnsi="Arial" w:cs="Arial"/>
                <w:b w:val="0"/>
                <w:bCs w:val="0"/>
              </w:rPr>
              <w:t>.</w:t>
            </w:r>
            <w:r w:rsidRPr="00CB4B11">
              <w:rPr>
                <w:rFonts w:ascii="Arial" w:hAnsi="Arial" w:cs="Arial"/>
                <w:b w:val="0"/>
                <w:bCs w:val="0"/>
              </w:rPr>
              <w:t>g. monitoring</w:t>
            </w:r>
            <w:r w:rsidR="00CB4B11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5A68C4" w:rsidRPr="009730E8" w14:paraId="6EA9DD31" w14:textId="1EBE536A" w:rsidTr="000F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005FCF" w14:textId="0B883B95" w:rsidR="00FA0E4D" w:rsidRPr="00FA0E4D" w:rsidRDefault="00746FC4" w:rsidP="000F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Candesartan</w:t>
            </w:r>
            <w:r w:rsidR="00FD7617">
              <w:rPr>
                <w:rFonts w:ascii="Arial" w:hAnsi="Arial" w:cs="Arial"/>
                <w:sz w:val="20"/>
                <w:szCs w:val="20"/>
              </w:rPr>
              <w:t xml:space="preserve"> (pg15 4.5</w:t>
            </w:r>
            <w:r w:rsidR="00784B15">
              <w:rPr>
                <w:rFonts w:ascii="Arial" w:hAnsi="Arial" w:cs="Arial"/>
                <w:sz w:val="20"/>
                <w:szCs w:val="20"/>
              </w:rPr>
              <w:t xml:space="preserve"> – see below</w:t>
            </w:r>
            <w:r w:rsidR="00FD76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8" w:type="dxa"/>
            <w:vAlign w:val="center"/>
          </w:tcPr>
          <w:p w14:paraId="536868EE" w14:textId="030F223E" w:rsidR="005A68C4" w:rsidRPr="00CB4B11" w:rsidRDefault="00746FC4" w:rsidP="000F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Unlicensed – 16mg once daily</w:t>
            </w:r>
          </w:p>
        </w:tc>
        <w:tc>
          <w:tcPr>
            <w:tcW w:w="2258" w:type="dxa"/>
            <w:vAlign w:val="center"/>
          </w:tcPr>
          <w:p w14:paraId="5BEEF6AA" w14:textId="5908B385" w:rsidR="005A68C4" w:rsidRPr="00CB4B11" w:rsidRDefault="00746FC4" w:rsidP="000F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Migraine prophylaxis</w:t>
            </w:r>
          </w:p>
        </w:tc>
        <w:tc>
          <w:tcPr>
            <w:tcW w:w="2258" w:type="dxa"/>
            <w:vAlign w:val="center"/>
          </w:tcPr>
          <w:p w14:paraId="500BC4CF" w14:textId="3076966C" w:rsidR="005A68C4" w:rsidRPr="00CB4B11" w:rsidRDefault="00FD7617" w:rsidP="000F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58" w:type="dxa"/>
            <w:vAlign w:val="center"/>
          </w:tcPr>
          <w:p w14:paraId="6E8A1BBA" w14:textId="498A9C63" w:rsidR="00E12B17" w:rsidRPr="00CB4B11" w:rsidRDefault="00FD7617" w:rsidP="00E12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BNF - </w:t>
            </w:r>
            <w:r w:rsidRPr="00FD7617">
              <w:rPr>
                <w:rFonts w:ascii="Arial" w:hAnsi="Arial" w:cs="Arial"/>
              </w:rPr>
              <w:t>Monitor plasma-potassium concentration, particularly in the elderly and in patients with renal impairment.</w:t>
            </w:r>
          </w:p>
        </w:tc>
        <w:tc>
          <w:tcPr>
            <w:tcW w:w="2258" w:type="dxa"/>
            <w:vAlign w:val="center"/>
          </w:tcPr>
          <w:p w14:paraId="4356A94E" w14:textId="5FA9BE6C" w:rsidR="005A68C4" w:rsidRPr="00CB4B11" w:rsidRDefault="00FD7617" w:rsidP="000F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259" w:type="dxa"/>
            <w:vAlign w:val="center"/>
          </w:tcPr>
          <w:p w14:paraId="0692D38A" w14:textId="1B5BD564" w:rsidR="00AD4E65" w:rsidRPr="00CB4B11" w:rsidRDefault="00FD7617" w:rsidP="000F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Titration to 16mg target dose would be as used for licensed indications</w:t>
            </w:r>
          </w:p>
        </w:tc>
      </w:tr>
      <w:tr w:rsidR="00784B15" w:rsidRPr="009730E8" w14:paraId="42D97D65" w14:textId="49CA1A4B" w:rsidTr="00D44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0" w:type="dxa"/>
            <w:gridSpan w:val="7"/>
            <w:vAlign w:val="center"/>
          </w:tcPr>
          <w:p w14:paraId="695F7BD2" w14:textId="6FA13BB6" w:rsidR="00784B15" w:rsidRPr="00CB4B11" w:rsidRDefault="00784B15" w:rsidP="000F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B1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77CA6C9" wp14:editId="7B343FF3">
                  <wp:extent cx="5495925" cy="207623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781" cy="208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2A564" w14:textId="77777777" w:rsidR="007B4B2D" w:rsidRPr="00CB4B11" w:rsidDel="009730E8" w:rsidRDefault="007B4B2D" w:rsidP="007B4B2D">
      <w:pPr>
        <w:spacing w:after="0"/>
        <w:rPr>
          <w:rFonts w:ascii="Arial" w:hAnsi="Arial" w:cs="Arial"/>
        </w:rPr>
      </w:pPr>
    </w:p>
    <w:p w14:paraId="207FA30F" w14:textId="77777777" w:rsidR="00C655DE" w:rsidRDefault="00C655DE">
      <w:pPr>
        <w:rPr>
          <w:rFonts w:ascii="Arial" w:hAnsi="Arial" w:cs="Arial"/>
          <w:bCs/>
        </w:rPr>
      </w:pPr>
    </w:p>
    <w:p w14:paraId="24741954" w14:textId="1E8647DD" w:rsidR="005924CA" w:rsidRPr="0073165C" w:rsidRDefault="007B4B2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73165C" w:rsidRPr="0073165C">
        <w:rPr>
          <w:rFonts w:ascii="Arial" w:hAnsi="Arial" w:cs="Arial"/>
          <w:bCs/>
        </w:rPr>
        <w:t xml:space="preserve">dentified lead for development of </w:t>
      </w:r>
      <w:r w:rsidR="00AE4797">
        <w:rPr>
          <w:rFonts w:ascii="Arial" w:hAnsi="Arial" w:cs="Arial"/>
          <w:bCs/>
        </w:rPr>
        <w:t xml:space="preserve">additional </w:t>
      </w:r>
      <w:r w:rsidR="0073165C" w:rsidRPr="0073165C">
        <w:rPr>
          <w:rFonts w:ascii="Arial" w:hAnsi="Arial" w:cs="Arial"/>
          <w:bCs/>
        </w:rPr>
        <w:t>necessary documents e.g. shared care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73165C" w:rsidRPr="0073165C" w14:paraId="05BFD44A" w14:textId="77777777" w:rsidTr="008B37CF">
        <w:trPr>
          <w:trHeight w:val="535"/>
        </w:trPr>
        <w:tc>
          <w:tcPr>
            <w:tcW w:w="4106" w:type="dxa"/>
            <w:vAlign w:val="center"/>
          </w:tcPr>
          <w:p w14:paraId="1ECF1D57" w14:textId="0C9C7A8B" w:rsidR="0073165C" w:rsidRPr="0073165C" w:rsidRDefault="0073165C" w:rsidP="0073165C">
            <w:pPr>
              <w:rPr>
                <w:rFonts w:ascii="Arial" w:hAnsi="Arial" w:cs="Arial"/>
                <w:b/>
              </w:rPr>
            </w:pPr>
            <w:r w:rsidRPr="0073165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1282" w:type="dxa"/>
            <w:vAlign w:val="center"/>
          </w:tcPr>
          <w:p w14:paraId="0AA5627C" w14:textId="24E3766B" w:rsidR="0073165C" w:rsidRPr="0073165C" w:rsidRDefault="0073165C" w:rsidP="008B37CF">
            <w:pPr>
              <w:rPr>
                <w:rFonts w:ascii="Arial" w:hAnsi="Arial" w:cs="Arial"/>
                <w:bCs/>
              </w:rPr>
            </w:pPr>
          </w:p>
        </w:tc>
      </w:tr>
      <w:tr w:rsidR="0073165C" w:rsidRPr="0073165C" w14:paraId="65B3D1B1" w14:textId="77777777" w:rsidTr="0073165C">
        <w:tc>
          <w:tcPr>
            <w:tcW w:w="4106" w:type="dxa"/>
            <w:vAlign w:val="center"/>
          </w:tcPr>
          <w:p w14:paraId="2B3FD8ED" w14:textId="4F4A38B0" w:rsidR="0073165C" w:rsidRPr="0073165C" w:rsidRDefault="0073165C" w:rsidP="0073165C">
            <w:pPr>
              <w:rPr>
                <w:rFonts w:ascii="Arial" w:hAnsi="Arial" w:cs="Arial"/>
                <w:b/>
              </w:rPr>
            </w:pPr>
            <w:r w:rsidRPr="0073165C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11282" w:type="dxa"/>
            <w:vAlign w:val="center"/>
          </w:tcPr>
          <w:p w14:paraId="4B71BEDC" w14:textId="4542A330" w:rsidR="0073165C" w:rsidRPr="0073165C" w:rsidRDefault="0073165C">
            <w:pPr>
              <w:rPr>
                <w:rFonts w:ascii="Arial" w:hAnsi="Arial" w:cs="Arial"/>
                <w:bCs/>
              </w:rPr>
            </w:pPr>
          </w:p>
        </w:tc>
      </w:tr>
      <w:tr w:rsidR="0073165C" w:rsidRPr="0073165C" w14:paraId="41D469FC" w14:textId="77777777" w:rsidTr="0073165C">
        <w:tc>
          <w:tcPr>
            <w:tcW w:w="4106" w:type="dxa"/>
            <w:vAlign w:val="center"/>
          </w:tcPr>
          <w:p w14:paraId="3E804FFD" w14:textId="537CC9BA" w:rsidR="0073165C" w:rsidRPr="0073165C" w:rsidRDefault="0073165C" w:rsidP="0073165C">
            <w:pPr>
              <w:rPr>
                <w:rFonts w:ascii="Arial" w:hAnsi="Arial" w:cs="Arial"/>
                <w:b/>
              </w:rPr>
            </w:pPr>
            <w:r w:rsidRPr="0073165C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11282" w:type="dxa"/>
            <w:vAlign w:val="center"/>
          </w:tcPr>
          <w:p w14:paraId="5B896AD6" w14:textId="287B4ABF" w:rsidR="0073165C" w:rsidRPr="0073165C" w:rsidRDefault="0073165C">
            <w:pPr>
              <w:rPr>
                <w:rFonts w:ascii="Arial" w:hAnsi="Arial" w:cs="Arial"/>
                <w:bCs/>
              </w:rPr>
            </w:pPr>
          </w:p>
        </w:tc>
      </w:tr>
      <w:tr w:rsidR="0073165C" w:rsidRPr="0073165C" w14:paraId="446FBDC7" w14:textId="77777777" w:rsidTr="0073165C">
        <w:tc>
          <w:tcPr>
            <w:tcW w:w="4106" w:type="dxa"/>
            <w:vAlign w:val="center"/>
          </w:tcPr>
          <w:p w14:paraId="0CF2C503" w14:textId="6221A6BE" w:rsidR="0073165C" w:rsidRPr="0073165C" w:rsidRDefault="0073165C">
            <w:pPr>
              <w:rPr>
                <w:rFonts w:ascii="Arial" w:hAnsi="Arial" w:cs="Arial"/>
                <w:b/>
              </w:rPr>
            </w:pPr>
            <w:r w:rsidRPr="0073165C">
              <w:rPr>
                <w:rFonts w:ascii="Arial" w:hAnsi="Arial" w:cs="Arial"/>
                <w:b/>
              </w:rPr>
              <w:t>Estimated date of preparation:</w:t>
            </w:r>
          </w:p>
        </w:tc>
        <w:tc>
          <w:tcPr>
            <w:tcW w:w="11282" w:type="dxa"/>
            <w:vAlign w:val="center"/>
          </w:tcPr>
          <w:p w14:paraId="587CBD1C" w14:textId="1CEF40DA" w:rsidR="0073165C" w:rsidRPr="0073165C" w:rsidRDefault="0073165C">
            <w:pPr>
              <w:rPr>
                <w:rFonts w:ascii="Arial" w:hAnsi="Arial" w:cs="Arial"/>
                <w:bCs/>
              </w:rPr>
            </w:pPr>
          </w:p>
        </w:tc>
      </w:tr>
    </w:tbl>
    <w:p w14:paraId="2D754D95" w14:textId="77777777" w:rsidR="00266C30" w:rsidRDefault="00266C30" w:rsidP="009730E8">
      <w:pPr>
        <w:spacing w:after="0" w:line="240" w:lineRule="auto"/>
        <w:rPr>
          <w:rFonts w:ascii="Arial" w:hAnsi="Arial" w:cs="Arial"/>
          <w:b/>
        </w:rPr>
      </w:pPr>
    </w:p>
    <w:p w14:paraId="3C1D76EA" w14:textId="29711557" w:rsidR="008B37CF" w:rsidRDefault="009730E8" w:rsidP="00031C0B">
      <w:pPr>
        <w:spacing w:after="0" w:line="240" w:lineRule="auto"/>
        <w:rPr>
          <w:rFonts w:ascii="Arial" w:hAnsi="Arial" w:cs="Arial"/>
          <w:b/>
        </w:rPr>
      </w:pPr>
      <w:r w:rsidRPr="00C1026D">
        <w:rPr>
          <w:rFonts w:ascii="Arial" w:hAnsi="Arial" w:cs="Arial"/>
          <w:b/>
        </w:rPr>
        <w:t>References:</w:t>
      </w:r>
    </w:p>
    <w:p w14:paraId="724C78C1" w14:textId="04559144" w:rsidR="00784B15" w:rsidRDefault="00CD13F8" w:rsidP="00784B1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hyperlink r:id="rId17" w:history="1">
        <w:r w:rsidR="00784B15" w:rsidRPr="00C61152">
          <w:rPr>
            <w:rStyle w:val="Hyperlink"/>
            <w:rFonts w:ascii="Arial" w:hAnsi="Arial" w:cs="Arial"/>
            <w:bCs/>
          </w:rPr>
          <w:t>https://www.sign.ac.uk/media/2001/sign-155-migraine-2022-v10.pdf</w:t>
        </w:r>
      </w:hyperlink>
      <w:r w:rsidR="00784B15">
        <w:rPr>
          <w:rFonts w:ascii="Arial" w:hAnsi="Arial" w:cs="Arial"/>
          <w:bCs/>
        </w:rPr>
        <w:t xml:space="preserve"> </w:t>
      </w:r>
    </w:p>
    <w:p w14:paraId="61B28C75" w14:textId="72A22E41" w:rsidR="00784B15" w:rsidRPr="00784B15" w:rsidRDefault="00CD13F8" w:rsidP="00784B1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hyperlink r:id="rId18" w:history="1">
        <w:r w:rsidR="00784B15" w:rsidRPr="00C61152">
          <w:rPr>
            <w:rStyle w:val="Hyperlink"/>
            <w:rFonts w:ascii="Arial" w:hAnsi="Arial" w:cs="Arial"/>
            <w:bCs/>
          </w:rPr>
          <w:t>https://www.sign.ac.uk/media/2005/migraine-flowchart-2022.pdf</w:t>
        </w:r>
      </w:hyperlink>
      <w:r w:rsidR="00784B15">
        <w:rPr>
          <w:rFonts w:ascii="Arial" w:hAnsi="Arial" w:cs="Arial"/>
          <w:bCs/>
        </w:rPr>
        <w:t xml:space="preserve"> </w:t>
      </w:r>
    </w:p>
    <w:p w14:paraId="03700CD0" w14:textId="77777777" w:rsidR="009730E8" w:rsidRPr="00CB4B11" w:rsidRDefault="009730E8" w:rsidP="009730E8">
      <w:pPr>
        <w:spacing w:after="0" w:line="240" w:lineRule="auto"/>
        <w:rPr>
          <w:rFonts w:ascii="Arial" w:hAnsi="Arial" w:cs="Arial"/>
          <w:bCs/>
        </w:rPr>
      </w:pPr>
    </w:p>
    <w:p w14:paraId="321F6DEA" w14:textId="179596F2" w:rsidR="009730E8" w:rsidRDefault="009730E8" w:rsidP="009730E8">
      <w:pPr>
        <w:pStyle w:val="ListParagraph"/>
        <w:spacing w:after="0"/>
        <w:ind w:left="0"/>
        <w:rPr>
          <w:rFonts w:ascii="Arial" w:hAnsi="Arial" w:cs="Arial"/>
        </w:rPr>
      </w:pPr>
    </w:p>
    <w:sectPr w:rsidR="009730E8" w:rsidSect="007B4B2D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 w:code="9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64FC" w14:textId="77777777" w:rsidR="009441D9" w:rsidRDefault="009441D9" w:rsidP="0088351C">
      <w:pPr>
        <w:spacing w:after="0" w:line="240" w:lineRule="auto"/>
      </w:pPr>
      <w:r>
        <w:separator/>
      </w:r>
    </w:p>
  </w:endnote>
  <w:endnote w:type="continuationSeparator" w:id="0">
    <w:p w14:paraId="32C7EB41" w14:textId="77777777" w:rsidR="009441D9" w:rsidRDefault="009441D9" w:rsidP="008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302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41D3A" w14:textId="77777777" w:rsidR="007B4B2D" w:rsidRDefault="007B4B2D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A94393D" w14:textId="0DEFBB13" w:rsidR="007B4B2D" w:rsidRDefault="00CD13F8" w:rsidP="007B4B2D">
            <w:pPr>
              <w:pStyle w:val="Footer"/>
            </w:pPr>
          </w:p>
        </w:sdtContent>
      </w:sdt>
    </w:sdtContent>
  </w:sdt>
  <w:p w14:paraId="5C42127F" w14:textId="300D5941" w:rsidR="001F1436" w:rsidRDefault="001F1436" w:rsidP="0048749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491300"/>
      <w:docPartObj>
        <w:docPartGallery w:val="Page Numbers (Bottom of Page)"/>
        <w:docPartUnique/>
      </w:docPartObj>
    </w:sdtPr>
    <w:sdtEndPr/>
    <w:sdtContent>
      <w:sdt>
        <w:sdtPr>
          <w:id w:val="1357856529"/>
          <w:docPartObj>
            <w:docPartGallery w:val="Page Numbers (Top of Page)"/>
            <w:docPartUnique/>
          </w:docPartObj>
        </w:sdtPr>
        <w:sdtEndPr/>
        <w:sdtContent>
          <w:p w14:paraId="70F40BF8" w14:textId="77777777" w:rsidR="00D62125" w:rsidRDefault="00D62125" w:rsidP="00D6212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F2E8278" w14:textId="6E86A6A4" w:rsidR="00D62125" w:rsidRDefault="00D62125" w:rsidP="00D62125">
            <w:pPr>
              <w:pStyle w:val="Footer"/>
            </w:pPr>
            <w:r>
              <w:rPr>
                <w:b/>
                <w:bCs/>
                <w:sz w:val="16"/>
                <w:szCs w:val="16"/>
              </w:rPr>
              <w:t>Medicines Resource Unit</w:t>
            </w:r>
            <w:r w:rsidR="00C655DE">
              <w:rPr>
                <w:b/>
                <w:bCs/>
                <w:sz w:val="16"/>
                <w:szCs w:val="16"/>
              </w:rPr>
              <w:t xml:space="preserve">, </w:t>
            </w:r>
            <w:r w:rsidR="00CB4B11">
              <w:rPr>
                <w:b/>
                <w:bCs/>
                <w:sz w:val="16"/>
                <w:szCs w:val="16"/>
              </w:rPr>
              <w:t>NHS Surrey Heartlands IC</w:t>
            </w:r>
            <w:r w:rsidR="00C655DE">
              <w:rPr>
                <w:b/>
                <w:bCs/>
                <w:sz w:val="16"/>
                <w:szCs w:val="16"/>
              </w:rPr>
              <w:t xml:space="preserve">B, </w:t>
            </w:r>
            <w:r>
              <w:rPr>
                <w:b/>
                <w:bCs/>
                <w:sz w:val="16"/>
                <w:szCs w:val="16"/>
              </w:rPr>
              <w:t>Updated Oct 2022</w:t>
            </w:r>
          </w:p>
        </w:sdtContent>
      </w:sdt>
    </w:sdtContent>
  </w:sdt>
  <w:p w14:paraId="39411654" w14:textId="77777777" w:rsidR="00D62125" w:rsidRDefault="00D62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BDE1" w14:textId="77777777" w:rsidR="009441D9" w:rsidRDefault="009441D9" w:rsidP="0088351C">
      <w:pPr>
        <w:spacing w:after="0" w:line="240" w:lineRule="auto"/>
      </w:pPr>
      <w:bookmarkStart w:id="0" w:name="_Hlk115944467"/>
      <w:bookmarkEnd w:id="0"/>
      <w:r>
        <w:separator/>
      </w:r>
    </w:p>
  </w:footnote>
  <w:footnote w:type="continuationSeparator" w:id="0">
    <w:p w14:paraId="66EB7A28" w14:textId="77777777" w:rsidR="009441D9" w:rsidRDefault="009441D9" w:rsidP="0088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349F" w14:textId="1C63C1BB" w:rsidR="00651D97" w:rsidRDefault="00651D97" w:rsidP="00651D9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1247E">
      <w:rPr>
        <w:b/>
        <w:noProof/>
        <w:sz w:val="28"/>
        <w:szCs w:val="24"/>
      </w:rPr>
      <w:drawing>
        <wp:anchor distT="0" distB="0" distL="114300" distR="114300" simplePos="0" relativeHeight="251659776" behindDoc="1" locked="0" layoutInCell="1" allowOverlap="1" wp14:anchorId="1EBDE013" wp14:editId="06B1FB30">
          <wp:simplePos x="0" y="0"/>
          <wp:positionH relativeFrom="margin">
            <wp:posOffset>9079230</wp:posOffset>
          </wp:positionH>
          <wp:positionV relativeFrom="margin">
            <wp:posOffset>-2076450</wp:posOffset>
          </wp:positionV>
          <wp:extent cx="742950" cy="504825"/>
          <wp:effectExtent l="0" t="0" r="0" b="9525"/>
          <wp:wrapTight wrapText="bothSides">
            <wp:wrapPolygon edited="0">
              <wp:start x="0" y="0"/>
              <wp:lineTo x="0" y="21192"/>
              <wp:lineTo x="21046" y="21192"/>
              <wp:lineTo x="21046" y="0"/>
              <wp:lineTo x="0" y="0"/>
            </wp:wrapPolygon>
          </wp:wrapTight>
          <wp:docPr id="2" name="Picture 2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A531AE" w14:textId="51E369EE" w:rsidR="00651D97" w:rsidRDefault="00651D97" w:rsidP="00651D97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1DC1EC29" w14:textId="4B8A0C69" w:rsidR="001F1436" w:rsidRDefault="001F1436" w:rsidP="0088351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C1ED" w14:textId="4C113D26" w:rsidR="007B4B2D" w:rsidRDefault="00FC7A3F" w:rsidP="00FC7A3F">
    <w:pPr>
      <w:pStyle w:val="Header"/>
      <w:jc w:val="right"/>
      <w:rPr>
        <w:rFonts w:ascii="Arial" w:hAnsi="Arial" w:cs="Arial"/>
        <w:b/>
        <w:bCs/>
        <w:sz w:val="28"/>
        <w:szCs w:val="28"/>
      </w:rPr>
    </w:pPr>
    <w:bookmarkStart w:id="1" w:name="_Hlk115944585"/>
    <w:bookmarkStart w:id="2" w:name="_Hlk115944586"/>
    <w:bookmarkStart w:id="3" w:name="_Hlk115944587"/>
    <w:bookmarkStart w:id="4" w:name="_Hlk115944588"/>
    <w:r>
      <w:rPr>
        <w:rFonts w:ascii="Arial" w:hAnsi="Arial" w:cs="Arial"/>
        <w:b/>
        <w:bCs/>
        <w:sz w:val="28"/>
        <w:szCs w:val="28"/>
      </w:rPr>
      <w:t xml:space="preserve">     </w:t>
    </w:r>
    <w:r w:rsidRPr="00674B8B">
      <w:rPr>
        <w:b/>
        <w:noProof/>
      </w:rPr>
      <w:drawing>
        <wp:inline distT="0" distB="0" distL="0" distR="0" wp14:anchorId="261598C0" wp14:editId="2591D378">
          <wp:extent cx="716280" cy="502920"/>
          <wp:effectExtent l="0" t="0" r="7620" b="0"/>
          <wp:docPr id="1" name="Picture 1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3C760" w14:textId="4A5B9C8E" w:rsidR="00FC7A3F" w:rsidRDefault="00FC7A3F" w:rsidP="00FC7A3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7B4B2D">
      <w:rPr>
        <w:rFonts w:ascii="Arial" w:hAnsi="Arial" w:cs="Arial"/>
        <w:b/>
        <w:bCs/>
        <w:sz w:val="28"/>
        <w:szCs w:val="28"/>
      </w:rPr>
      <w:t>Surrey Heartlands Integrated Care System</w:t>
    </w:r>
  </w:p>
  <w:p w14:paraId="36654B9A" w14:textId="074F4BE4" w:rsidR="007B4B2D" w:rsidRPr="007B4B2D" w:rsidRDefault="007B4B2D" w:rsidP="007B4B2D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7B4B2D">
      <w:rPr>
        <w:rFonts w:ascii="Arial" w:hAnsi="Arial" w:cs="Arial"/>
        <w:b/>
        <w:bCs/>
        <w:sz w:val="28"/>
        <w:szCs w:val="28"/>
      </w:rPr>
      <w:t>Area Prescribing Committee (APC)</w:t>
    </w:r>
  </w:p>
  <w:p w14:paraId="67121268" w14:textId="77777777" w:rsidR="007B4B2D" w:rsidRPr="007B4B2D" w:rsidRDefault="007B4B2D" w:rsidP="007B4B2D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</w:p>
  <w:p w14:paraId="3B591A37" w14:textId="77777777" w:rsidR="007B4B2D" w:rsidRPr="00CB4B11" w:rsidRDefault="007B4B2D" w:rsidP="007B4B2D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CB4B11">
      <w:rPr>
        <w:rFonts w:ascii="Arial" w:hAnsi="Arial" w:cs="Arial"/>
        <w:sz w:val="28"/>
        <w:szCs w:val="28"/>
      </w:rPr>
      <w:t>Integrated Care Partnershi</w:t>
    </w:r>
    <w:r w:rsidRPr="007B4B2D">
      <w:rPr>
        <w:rFonts w:ascii="Arial" w:hAnsi="Arial" w:cs="Arial"/>
        <w:sz w:val="28"/>
        <w:szCs w:val="28"/>
      </w:rPr>
      <w:t xml:space="preserve">p - </w:t>
    </w:r>
    <w:r w:rsidRPr="00CB4B11">
      <w:rPr>
        <w:rFonts w:ascii="Arial" w:hAnsi="Arial" w:cs="Arial"/>
        <w:sz w:val="28"/>
        <w:szCs w:val="28"/>
      </w:rPr>
      <w:t xml:space="preserve">Surrey Downs, Guildford &amp; Waverley, </w:t>
    </w:r>
    <w:proofErr w:type="gramStart"/>
    <w:r w:rsidRPr="00CB4B11">
      <w:rPr>
        <w:rFonts w:ascii="Arial" w:hAnsi="Arial" w:cs="Arial"/>
        <w:sz w:val="28"/>
        <w:szCs w:val="28"/>
      </w:rPr>
      <w:t>North West</w:t>
    </w:r>
    <w:proofErr w:type="gramEnd"/>
    <w:r w:rsidRPr="00CB4B11">
      <w:rPr>
        <w:rFonts w:ascii="Arial" w:hAnsi="Arial" w:cs="Arial"/>
        <w:sz w:val="28"/>
        <w:szCs w:val="28"/>
      </w:rPr>
      <w:t xml:space="preserve"> Surrey,</w:t>
    </w:r>
    <w:r w:rsidRPr="007B4B2D">
      <w:rPr>
        <w:rFonts w:ascii="Arial" w:hAnsi="Arial" w:cs="Arial"/>
        <w:sz w:val="28"/>
        <w:szCs w:val="28"/>
      </w:rPr>
      <w:t xml:space="preserve"> and</w:t>
    </w:r>
    <w:r w:rsidRPr="00CB4B11">
      <w:rPr>
        <w:rFonts w:ascii="Arial" w:hAnsi="Arial" w:cs="Arial"/>
        <w:sz w:val="28"/>
        <w:szCs w:val="28"/>
      </w:rPr>
      <w:t xml:space="preserve"> East Surrey Places &amp; associated partner organisations.</w:t>
    </w:r>
  </w:p>
  <w:bookmarkEnd w:id="1"/>
  <w:bookmarkEnd w:id="2"/>
  <w:bookmarkEnd w:id="3"/>
  <w:bookmarkEnd w:id="4"/>
  <w:p w14:paraId="5A311B22" w14:textId="48A02A49" w:rsidR="001F1436" w:rsidRDefault="001F1436" w:rsidP="00FC2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397"/>
    <w:multiLevelType w:val="multilevel"/>
    <w:tmpl w:val="3FE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8432F"/>
    <w:multiLevelType w:val="hybridMultilevel"/>
    <w:tmpl w:val="4E7C7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1821"/>
    <w:multiLevelType w:val="hybridMultilevel"/>
    <w:tmpl w:val="B82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17E"/>
    <w:multiLevelType w:val="hybridMultilevel"/>
    <w:tmpl w:val="05AC0156"/>
    <w:lvl w:ilvl="0" w:tplc="B61847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3FF2"/>
    <w:multiLevelType w:val="hybridMultilevel"/>
    <w:tmpl w:val="CC4A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2713"/>
    <w:multiLevelType w:val="hybridMultilevel"/>
    <w:tmpl w:val="75A0FDD4"/>
    <w:lvl w:ilvl="0" w:tplc="228CC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4F9"/>
    <w:multiLevelType w:val="hybridMultilevel"/>
    <w:tmpl w:val="94180B5E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CB1"/>
    <w:multiLevelType w:val="hybridMultilevel"/>
    <w:tmpl w:val="5D725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32E5"/>
    <w:multiLevelType w:val="hybridMultilevel"/>
    <w:tmpl w:val="6F5E089E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8497C"/>
    <w:multiLevelType w:val="hybridMultilevel"/>
    <w:tmpl w:val="C01811CE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7023"/>
    <w:multiLevelType w:val="hybridMultilevel"/>
    <w:tmpl w:val="2794DA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604A"/>
    <w:multiLevelType w:val="hybridMultilevel"/>
    <w:tmpl w:val="6F48B0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81014"/>
    <w:multiLevelType w:val="hybridMultilevel"/>
    <w:tmpl w:val="23EEDDD2"/>
    <w:lvl w:ilvl="0" w:tplc="485C6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CB7"/>
    <w:multiLevelType w:val="hybridMultilevel"/>
    <w:tmpl w:val="9250AD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8529DF"/>
    <w:multiLevelType w:val="hybridMultilevel"/>
    <w:tmpl w:val="0352D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17868"/>
    <w:multiLevelType w:val="hybridMultilevel"/>
    <w:tmpl w:val="00063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3169B"/>
    <w:multiLevelType w:val="hybridMultilevel"/>
    <w:tmpl w:val="B47A2C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67722C"/>
    <w:multiLevelType w:val="hybridMultilevel"/>
    <w:tmpl w:val="C6B0EAE8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CAF"/>
    <w:multiLevelType w:val="hybridMultilevel"/>
    <w:tmpl w:val="8E421196"/>
    <w:lvl w:ilvl="0" w:tplc="9D2E9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D7142"/>
    <w:multiLevelType w:val="hybridMultilevel"/>
    <w:tmpl w:val="4E7C7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0C21"/>
    <w:multiLevelType w:val="hybridMultilevel"/>
    <w:tmpl w:val="E5EE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46AF6"/>
    <w:multiLevelType w:val="hybridMultilevel"/>
    <w:tmpl w:val="6F3238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043E9"/>
    <w:multiLevelType w:val="hybridMultilevel"/>
    <w:tmpl w:val="0D54B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4709F8"/>
    <w:multiLevelType w:val="hybridMultilevel"/>
    <w:tmpl w:val="51C6B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67869">
    <w:abstractNumId w:val="4"/>
  </w:num>
  <w:num w:numId="2" w16cid:durableId="93941972">
    <w:abstractNumId w:val="2"/>
  </w:num>
  <w:num w:numId="3" w16cid:durableId="258955170">
    <w:abstractNumId w:val="13"/>
  </w:num>
  <w:num w:numId="4" w16cid:durableId="1673406828">
    <w:abstractNumId w:val="10"/>
  </w:num>
  <w:num w:numId="5" w16cid:durableId="1806120593">
    <w:abstractNumId w:val="21"/>
  </w:num>
  <w:num w:numId="6" w16cid:durableId="1223248917">
    <w:abstractNumId w:val="1"/>
  </w:num>
  <w:num w:numId="7" w16cid:durableId="1667396137">
    <w:abstractNumId w:val="14"/>
  </w:num>
  <w:num w:numId="8" w16cid:durableId="697701390">
    <w:abstractNumId w:val="19"/>
  </w:num>
  <w:num w:numId="9" w16cid:durableId="888301922">
    <w:abstractNumId w:val="15"/>
  </w:num>
  <w:num w:numId="10" w16cid:durableId="1306397521">
    <w:abstractNumId w:val="23"/>
  </w:num>
  <w:num w:numId="11" w16cid:durableId="1252811770">
    <w:abstractNumId w:val="12"/>
  </w:num>
  <w:num w:numId="12" w16cid:durableId="1340429883">
    <w:abstractNumId w:val="7"/>
  </w:num>
  <w:num w:numId="13" w16cid:durableId="1726830532">
    <w:abstractNumId w:val="0"/>
  </w:num>
  <w:num w:numId="14" w16cid:durableId="1828479347">
    <w:abstractNumId w:val="16"/>
  </w:num>
  <w:num w:numId="15" w16cid:durableId="116879582">
    <w:abstractNumId w:val="3"/>
  </w:num>
  <w:num w:numId="16" w16cid:durableId="1957789382">
    <w:abstractNumId w:val="9"/>
  </w:num>
  <w:num w:numId="17" w16cid:durableId="1763263687">
    <w:abstractNumId w:val="17"/>
  </w:num>
  <w:num w:numId="18" w16cid:durableId="192503960">
    <w:abstractNumId w:val="18"/>
  </w:num>
  <w:num w:numId="19" w16cid:durableId="1851681783">
    <w:abstractNumId w:val="6"/>
  </w:num>
  <w:num w:numId="20" w16cid:durableId="173304791">
    <w:abstractNumId w:val="22"/>
  </w:num>
  <w:num w:numId="21" w16cid:durableId="1426881703">
    <w:abstractNumId w:val="11"/>
  </w:num>
  <w:num w:numId="22" w16cid:durableId="1129325414">
    <w:abstractNumId w:val="8"/>
  </w:num>
  <w:num w:numId="23" w16cid:durableId="750079457">
    <w:abstractNumId w:val="20"/>
  </w:num>
  <w:num w:numId="24" w16cid:durableId="2077121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8D"/>
    <w:rsid w:val="00002891"/>
    <w:rsid w:val="00031C0B"/>
    <w:rsid w:val="00041776"/>
    <w:rsid w:val="0004302F"/>
    <w:rsid w:val="00050BCC"/>
    <w:rsid w:val="000520C5"/>
    <w:rsid w:val="00071B00"/>
    <w:rsid w:val="00071D8A"/>
    <w:rsid w:val="00082D41"/>
    <w:rsid w:val="00082EBF"/>
    <w:rsid w:val="00085253"/>
    <w:rsid w:val="000A548B"/>
    <w:rsid w:val="000A715D"/>
    <w:rsid w:val="000B0677"/>
    <w:rsid w:val="000B5140"/>
    <w:rsid w:val="000F0C50"/>
    <w:rsid w:val="000F20CC"/>
    <w:rsid w:val="001066E2"/>
    <w:rsid w:val="001141C4"/>
    <w:rsid w:val="00117B0E"/>
    <w:rsid w:val="00147EB5"/>
    <w:rsid w:val="00153542"/>
    <w:rsid w:val="00154E7D"/>
    <w:rsid w:val="00157F8C"/>
    <w:rsid w:val="001643F2"/>
    <w:rsid w:val="001655AE"/>
    <w:rsid w:val="001666F2"/>
    <w:rsid w:val="00180418"/>
    <w:rsid w:val="001871D7"/>
    <w:rsid w:val="001900B1"/>
    <w:rsid w:val="001B140E"/>
    <w:rsid w:val="001D40C4"/>
    <w:rsid w:val="001E370B"/>
    <w:rsid w:val="001F1436"/>
    <w:rsid w:val="002038F6"/>
    <w:rsid w:val="0020444F"/>
    <w:rsid w:val="002078BB"/>
    <w:rsid w:val="002117DD"/>
    <w:rsid w:val="0021247E"/>
    <w:rsid w:val="00213AB7"/>
    <w:rsid w:val="00221B6D"/>
    <w:rsid w:val="00224136"/>
    <w:rsid w:val="0026327F"/>
    <w:rsid w:val="00266C30"/>
    <w:rsid w:val="002861A5"/>
    <w:rsid w:val="00306B5C"/>
    <w:rsid w:val="00324ABD"/>
    <w:rsid w:val="00351ACE"/>
    <w:rsid w:val="00360C76"/>
    <w:rsid w:val="00367425"/>
    <w:rsid w:val="003949CB"/>
    <w:rsid w:val="003A5DBE"/>
    <w:rsid w:val="004063E7"/>
    <w:rsid w:val="0046218C"/>
    <w:rsid w:val="0048749A"/>
    <w:rsid w:val="004A70DB"/>
    <w:rsid w:val="004E5727"/>
    <w:rsid w:val="00535919"/>
    <w:rsid w:val="00551210"/>
    <w:rsid w:val="005622FB"/>
    <w:rsid w:val="005924CA"/>
    <w:rsid w:val="005A13DD"/>
    <w:rsid w:val="005A68C4"/>
    <w:rsid w:val="005B3526"/>
    <w:rsid w:val="005C08B0"/>
    <w:rsid w:val="005C2C29"/>
    <w:rsid w:val="005E69DC"/>
    <w:rsid w:val="006164B2"/>
    <w:rsid w:val="00651D97"/>
    <w:rsid w:val="00655091"/>
    <w:rsid w:val="0068040C"/>
    <w:rsid w:val="006916D8"/>
    <w:rsid w:val="00693933"/>
    <w:rsid w:val="006E6A85"/>
    <w:rsid w:val="0073165C"/>
    <w:rsid w:val="00732A5C"/>
    <w:rsid w:val="007455C6"/>
    <w:rsid w:val="007456F1"/>
    <w:rsid w:val="00746FC4"/>
    <w:rsid w:val="00784B15"/>
    <w:rsid w:val="00795AF0"/>
    <w:rsid w:val="007B4B2D"/>
    <w:rsid w:val="007C48F5"/>
    <w:rsid w:val="007E68A9"/>
    <w:rsid w:val="0083318D"/>
    <w:rsid w:val="008433FE"/>
    <w:rsid w:val="008741FD"/>
    <w:rsid w:val="0088351C"/>
    <w:rsid w:val="008B37CF"/>
    <w:rsid w:val="00920850"/>
    <w:rsid w:val="00936F6F"/>
    <w:rsid w:val="009441D9"/>
    <w:rsid w:val="009730E8"/>
    <w:rsid w:val="0098276D"/>
    <w:rsid w:val="009951DB"/>
    <w:rsid w:val="009C66AB"/>
    <w:rsid w:val="009C7041"/>
    <w:rsid w:val="00A0083D"/>
    <w:rsid w:val="00A1687D"/>
    <w:rsid w:val="00A25C0B"/>
    <w:rsid w:val="00A3137B"/>
    <w:rsid w:val="00A507CC"/>
    <w:rsid w:val="00A55929"/>
    <w:rsid w:val="00A56EA8"/>
    <w:rsid w:val="00A9336D"/>
    <w:rsid w:val="00AB6BE4"/>
    <w:rsid w:val="00AC2F55"/>
    <w:rsid w:val="00AC37F9"/>
    <w:rsid w:val="00AD4E65"/>
    <w:rsid w:val="00AE4797"/>
    <w:rsid w:val="00B14875"/>
    <w:rsid w:val="00B355C5"/>
    <w:rsid w:val="00B80141"/>
    <w:rsid w:val="00BC2729"/>
    <w:rsid w:val="00BE22AD"/>
    <w:rsid w:val="00C0427F"/>
    <w:rsid w:val="00C045BB"/>
    <w:rsid w:val="00C111CF"/>
    <w:rsid w:val="00C514B1"/>
    <w:rsid w:val="00C655DE"/>
    <w:rsid w:val="00C66430"/>
    <w:rsid w:val="00C76DD8"/>
    <w:rsid w:val="00C83E2A"/>
    <w:rsid w:val="00C92DE2"/>
    <w:rsid w:val="00C93D67"/>
    <w:rsid w:val="00CB4B11"/>
    <w:rsid w:val="00CB7469"/>
    <w:rsid w:val="00CD13F8"/>
    <w:rsid w:val="00CF16BF"/>
    <w:rsid w:val="00CF70EF"/>
    <w:rsid w:val="00D31857"/>
    <w:rsid w:val="00D32C71"/>
    <w:rsid w:val="00D4669F"/>
    <w:rsid w:val="00D55B88"/>
    <w:rsid w:val="00D57374"/>
    <w:rsid w:val="00D62125"/>
    <w:rsid w:val="00D76092"/>
    <w:rsid w:val="00D76BBE"/>
    <w:rsid w:val="00DC710C"/>
    <w:rsid w:val="00E12B17"/>
    <w:rsid w:val="00E13C16"/>
    <w:rsid w:val="00E216E1"/>
    <w:rsid w:val="00E44578"/>
    <w:rsid w:val="00E62A6D"/>
    <w:rsid w:val="00E64E9C"/>
    <w:rsid w:val="00E66F3B"/>
    <w:rsid w:val="00E673C2"/>
    <w:rsid w:val="00E723F8"/>
    <w:rsid w:val="00EB3652"/>
    <w:rsid w:val="00EF04E0"/>
    <w:rsid w:val="00EF0894"/>
    <w:rsid w:val="00F23CF8"/>
    <w:rsid w:val="00F43532"/>
    <w:rsid w:val="00F61393"/>
    <w:rsid w:val="00F73C9C"/>
    <w:rsid w:val="00FA0E4D"/>
    <w:rsid w:val="00FA7EA9"/>
    <w:rsid w:val="00FC2F8A"/>
    <w:rsid w:val="00FC7A3F"/>
    <w:rsid w:val="00FD7617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0002"/>
  <w15:docId w15:val="{5EC257E7-FBDF-449A-9891-CDB9D14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1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1C"/>
  </w:style>
  <w:style w:type="paragraph" w:styleId="Footer">
    <w:name w:val="footer"/>
    <w:basedOn w:val="Normal"/>
    <w:link w:val="FooterChar"/>
    <w:uiPriority w:val="99"/>
    <w:unhideWhenUsed/>
    <w:rsid w:val="0088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1C"/>
  </w:style>
  <w:style w:type="paragraph" w:styleId="NoSpacing">
    <w:name w:val="No Spacing"/>
    <w:uiPriority w:val="1"/>
    <w:qFormat/>
    <w:rsid w:val="0088351C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88351C"/>
    <w:pPr>
      <w:ind w:left="720"/>
      <w:contextualSpacing/>
    </w:pPr>
  </w:style>
  <w:style w:type="table" w:styleId="TableGrid">
    <w:name w:val="Table Grid"/>
    <w:basedOn w:val="TableNormal"/>
    <w:uiPriority w:val="59"/>
    <w:rsid w:val="00F6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B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3A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3AB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13AB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715D"/>
  </w:style>
  <w:style w:type="character" w:styleId="Hyperlink">
    <w:name w:val="Hyperlink"/>
    <w:basedOn w:val="DefaultParagraphFont"/>
    <w:uiPriority w:val="99"/>
    <w:unhideWhenUsed/>
    <w:rsid w:val="008433F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9C70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6">
    <w:name w:val="Medium Shading 1 Accent 6"/>
    <w:basedOn w:val="TableNormal"/>
    <w:uiPriority w:val="63"/>
    <w:rsid w:val="009C70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924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224136"/>
    <w:pPr>
      <w:spacing w:after="0" w:line="240" w:lineRule="auto"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2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43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EF"/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EF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.ac.uk/media/2001/sign-155-migraine-2022-v10.pdf" TargetMode="External"/><Relationship Id="rId13" Type="http://schemas.openxmlformats.org/officeDocument/2006/relationships/hyperlink" Target="https://www.bash.org.uk/downloads/guidelines2019/02_BASHNationalHeadache_Management_SystemforAdults_2019_guideline_versi1.pdf" TargetMode="External"/><Relationship Id="rId18" Type="http://schemas.openxmlformats.org/officeDocument/2006/relationships/hyperlink" Target="https://www.sign.ac.uk/media/2005/migraine-flowchart-2022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ash.org.uk/" TargetMode="External"/><Relationship Id="rId17" Type="http://schemas.openxmlformats.org/officeDocument/2006/relationships/hyperlink" Target="https://www.sign.ac.uk/media/2001/sign-155-migraine-2022-v10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nf.nice.org.uk/treatment-summaries/migrain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ks.nice.org.uk/topics/migraine/prescribing-information/drugs-for-the-prevention-of-migra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nf.nice.org.uk/drugs/candesartan-cilexeti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reyccg.res-systems.net/PAD/TrafficLightStatus" TargetMode="External"/><Relationship Id="rId14" Type="http://schemas.openxmlformats.org/officeDocument/2006/relationships/hyperlink" Target="https://www.nice.org.uk/guidance/cg150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E3D3-E488-4A4F-9F69-5D4443C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Christina (CWS CCG)</dc:creator>
  <cp:lastModifiedBy>CLARIDGE, Rachel (NHS SURREY HEARTLANDS ICB - 92A)</cp:lastModifiedBy>
  <cp:revision>2</cp:revision>
  <cp:lastPrinted>2017-01-26T12:53:00Z</cp:lastPrinted>
  <dcterms:created xsi:type="dcterms:W3CDTF">2023-04-03T09:32:00Z</dcterms:created>
  <dcterms:modified xsi:type="dcterms:W3CDTF">2023-04-03T09:32:00Z</dcterms:modified>
</cp:coreProperties>
</file>